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390F49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2861FF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517BB9" w:rsidRPr="00472569" w:rsidRDefault="00A4672D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82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E0167D" w:rsidRDefault="00E0167D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  <w:lang w:val="en-US"/>
        </w:rPr>
        <w:t>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0059C">
        <w:rPr>
          <w:rFonts w:ascii="Times New Roman" w:hAnsi="Times New Roman"/>
          <w:b/>
          <w:sz w:val="28"/>
          <w:szCs w:val="28"/>
        </w:rPr>
        <w:t xml:space="preserve">№  </w:t>
      </w:r>
      <w:r w:rsidR="00E0167D">
        <w:rPr>
          <w:rFonts w:ascii="Times New Roman" w:hAnsi="Times New Roman"/>
          <w:b/>
          <w:sz w:val="28"/>
          <w:szCs w:val="28"/>
          <w:lang w:val="en-US"/>
        </w:rPr>
        <w:t>177</w:t>
      </w:r>
      <w:r w:rsidR="0010059C">
        <w:rPr>
          <w:rFonts w:ascii="Times New Roman" w:hAnsi="Times New Roman"/>
          <w:b/>
          <w:sz w:val="28"/>
          <w:szCs w:val="28"/>
        </w:rPr>
        <w:t xml:space="preserve"> </w:t>
      </w:r>
      <w:r w:rsidR="00E0167D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E0167D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E0167D">
        <w:rPr>
          <w:rFonts w:ascii="Times New Roman" w:hAnsi="Times New Roman"/>
          <w:b/>
          <w:sz w:val="28"/>
          <w:szCs w:val="28"/>
        </w:rPr>
        <w:t xml:space="preserve">              «29» ноября</w:t>
      </w:r>
      <w:r w:rsidR="00D74C28">
        <w:rPr>
          <w:rFonts w:ascii="Times New Roman" w:hAnsi="Times New Roman"/>
          <w:b/>
          <w:sz w:val="28"/>
          <w:szCs w:val="28"/>
        </w:rPr>
        <w:t xml:space="preserve"> 2019</w:t>
      </w:r>
      <w:r w:rsidRPr="00472569">
        <w:rPr>
          <w:rFonts w:ascii="Times New Roman" w:hAnsi="Times New Roman"/>
          <w:b/>
          <w:sz w:val="28"/>
          <w:szCs w:val="28"/>
        </w:rPr>
        <w:t>г.</w:t>
      </w:r>
    </w:p>
    <w:p w:rsidR="00A4672D" w:rsidRPr="00DE3FBB" w:rsidRDefault="00D74C28" w:rsidP="00A4672D">
      <w:pPr>
        <w:pStyle w:val="a9"/>
        <w:shd w:val="clear" w:color="auto" w:fill="auto"/>
        <w:spacing w:after="0" w:line="280" w:lineRule="exact"/>
        <w:ind w:right="60" w:firstLine="0"/>
        <w:jc w:val="center"/>
      </w:pPr>
      <w:r>
        <w:rPr>
          <w:rFonts w:ascii="Times New Roman" w:hAnsi="Times New Roman"/>
          <w:b/>
        </w:rPr>
        <w:t>Об установлении и введении в действие налога на имущество физических лиц на территории Листвянского муниципального образования</w:t>
      </w:r>
    </w:p>
    <w:p w:rsidR="00707393" w:rsidRPr="00472569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065" w:rsidRDefault="00727686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A4672D">
        <w:rPr>
          <w:rFonts w:ascii="Times New Roman" w:hAnsi="Times New Roman"/>
          <w:sz w:val="28"/>
          <w:szCs w:val="28"/>
        </w:rPr>
        <w:t>уко</w:t>
      </w:r>
      <w:r w:rsidR="00DC7831">
        <w:rPr>
          <w:rFonts w:ascii="Times New Roman" w:hAnsi="Times New Roman"/>
          <w:sz w:val="28"/>
          <w:szCs w:val="28"/>
        </w:rPr>
        <w:t xml:space="preserve">водствуясь </w:t>
      </w:r>
      <w:r w:rsidR="00D74C28">
        <w:rPr>
          <w:rFonts w:ascii="Times New Roman" w:hAnsi="Times New Roman"/>
          <w:sz w:val="28"/>
          <w:szCs w:val="28"/>
        </w:rPr>
        <w:t xml:space="preserve">п. 1 ст. 4, ст. 5, п. 4 ст. 12, ст.ст. 15, 17, главой 32 </w:t>
      </w:r>
      <w:r w:rsidR="00A4672D">
        <w:rPr>
          <w:rFonts w:ascii="Times New Roman" w:hAnsi="Times New Roman"/>
          <w:sz w:val="28"/>
          <w:szCs w:val="28"/>
        </w:rPr>
        <w:t>Налог</w:t>
      </w:r>
      <w:r w:rsidR="00A4672D">
        <w:rPr>
          <w:rFonts w:ascii="Times New Roman" w:hAnsi="Times New Roman"/>
          <w:sz w:val="28"/>
          <w:szCs w:val="28"/>
        </w:rPr>
        <w:t>о</w:t>
      </w:r>
      <w:r w:rsidR="00A4672D">
        <w:rPr>
          <w:rFonts w:ascii="Times New Roman" w:hAnsi="Times New Roman"/>
          <w:sz w:val="28"/>
          <w:szCs w:val="28"/>
        </w:rPr>
        <w:t>вого кодекса Р</w:t>
      </w:r>
      <w:r w:rsidR="00FF7A08">
        <w:rPr>
          <w:rFonts w:ascii="Times New Roman" w:hAnsi="Times New Roman"/>
          <w:sz w:val="28"/>
          <w:szCs w:val="28"/>
        </w:rPr>
        <w:t xml:space="preserve">оссийской </w:t>
      </w:r>
      <w:r w:rsidR="00A4672D">
        <w:rPr>
          <w:rFonts w:ascii="Times New Roman" w:hAnsi="Times New Roman"/>
          <w:sz w:val="28"/>
          <w:szCs w:val="28"/>
        </w:rPr>
        <w:t>Ф</w:t>
      </w:r>
      <w:r w:rsidR="00FF7A08">
        <w:rPr>
          <w:rFonts w:ascii="Times New Roman" w:hAnsi="Times New Roman"/>
          <w:sz w:val="28"/>
          <w:szCs w:val="28"/>
        </w:rPr>
        <w:t>едерации</w:t>
      </w:r>
      <w:r w:rsidR="00B644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74C28">
        <w:rPr>
          <w:rFonts w:ascii="Times New Roman" w:hAnsi="Times New Roman"/>
          <w:sz w:val="28"/>
          <w:szCs w:val="28"/>
        </w:rPr>
        <w:t>п. 2 ч. 1 ст. 14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управления в Российской Федерации», </w:t>
      </w:r>
      <w:r w:rsidR="00EE3123">
        <w:rPr>
          <w:rFonts w:ascii="Times New Roman" w:hAnsi="Times New Roman"/>
          <w:sz w:val="28"/>
          <w:szCs w:val="28"/>
        </w:rPr>
        <w:t>Законом Иркутс</w:t>
      </w:r>
      <w:r w:rsidR="00D842FD">
        <w:rPr>
          <w:rFonts w:ascii="Times New Roman" w:hAnsi="Times New Roman"/>
          <w:sz w:val="28"/>
          <w:szCs w:val="28"/>
        </w:rPr>
        <w:t>кой области от 12 ноября 2019г. № 112-ОЗ</w:t>
      </w:r>
      <w:r w:rsidR="00EE3123">
        <w:rPr>
          <w:rFonts w:ascii="Times New Roman" w:hAnsi="Times New Roman"/>
          <w:sz w:val="28"/>
          <w:szCs w:val="28"/>
        </w:rPr>
        <w:t xml:space="preserve"> «Об установлении единой даты начала применения на террит</w:t>
      </w:r>
      <w:r w:rsidR="00EE3123">
        <w:rPr>
          <w:rFonts w:ascii="Times New Roman" w:hAnsi="Times New Roman"/>
          <w:sz w:val="28"/>
          <w:szCs w:val="28"/>
        </w:rPr>
        <w:t>о</w:t>
      </w:r>
      <w:r w:rsidR="00EE3123">
        <w:rPr>
          <w:rFonts w:ascii="Times New Roman" w:hAnsi="Times New Roman"/>
          <w:sz w:val="28"/>
          <w:szCs w:val="28"/>
        </w:rPr>
        <w:t xml:space="preserve">рии </w:t>
      </w:r>
      <w:r w:rsidR="00194A59">
        <w:rPr>
          <w:rFonts w:ascii="Times New Roman" w:hAnsi="Times New Roman"/>
          <w:sz w:val="28"/>
          <w:szCs w:val="28"/>
        </w:rPr>
        <w:t>Иркут</w:t>
      </w:r>
      <w:r w:rsidR="00517BB9" w:rsidRPr="00B6440E">
        <w:rPr>
          <w:rFonts w:ascii="Times New Roman" w:hAnsi="Times New Roman"/>
          <w:sz w:val="28"/>
          <w:szCs w:val="28"/>
        </w:rPr>
        <w:t>с</w:t>
      </w:r>
      <w:r w:rsidR="00175F77">
        <w:rPr>
          <w:rFonts w:ascii="Times New Roman" w:hAnsi="Times New Roman"/>
          <w:sz w:val="28"/>
          <w:szCs w:val="28"/>
        </w:rPr>
        <w:t>кой области</w:t>
      </w:r>
      <w:proofErr w:type="gramEnd"/>
      <w:r w:rsidR="00175F77">
        <w:rPr>
          <w:rFonts w:ascii="Times New Roman" w:hAnsi="Times New Roman"/>
          <w:sz w:val="28"/>
          <w:szCs w:val="28"/>
        </w:rPr>
        <w:t xml:space="preserve"> порядка определения налоговой базы по налогу на им</w:t>
      </w:r>
      <w:r w:rsidR="00175F77">
        <w:rPr>
          <w:rFonts w:ascii="Times New Roman" w:hAnsi="Times New Roman"/>
          <w:sz w:val="28"/>
          <w:szCs w:val="28"/>
        </w:rPr>
        <w:t>у</w:t>
      </w:r>
      <w:r w:rsidR="00175F77">
        <w:rPr>
          <w:rFonts w:ascii="Times New Roman" w:hAnsi="Times New Roman"/>
          <w:sz w:val="28"/>
          <w:szCs w:val="28"/>
        </w:rPr>
        <w:t>щество физических лиц исходя из кадастровой стоимости», с</w:t>
      </w:r>
      <w:r w:rsidR="00517BB9" w:rsidRPr="00B6440E">
        <w:rPr>
          <w:rFonts w:ascii="Times New Roman" w:hAnsi="Times New Roman"/>
          <w:sz w:val="28"/>
          <w:szCs w:val="28"/>
        </w:rPr>
        <w:t xml:space="preserve">татьей </w:t>
      </w:r>
      <w:r w:rsidR="00175F77">
        <w:rPr>
          <w:rFonts w:ascii="Times New Roman" w:hAnsi="Times New Roman"/>
          <w:sz w:val="28"/>
          <w:szCs w:val="28"/>
        </w:rPr>
        <w:t xml:space="preserve">6, </w:t>
      </w:r>
      <w:r w:rsidR="00517BB9" w:rsidRPr="00B6440E">
        <w:rPr>
          <w:rFonts w:ascii="Times New Roman" w:hAnsi="Times New Roman"/>
          <w:sz w:val="28"/>
          <w:szCs w:val="28"/>
        </w:rPr>
        <w:t>49</w:t>
      </w:r>
      <w:r w:rsidR="00517BB9">
        <w:rPr>
          <w:rFonts w:ascii="Times New Roman" w:hAnsi="Times New Roman"/>
          <w:sz w:val="28"/>
          <w:szCs w:val="28"/>
        </w:rPr>
        <w:t xml:space="preserve"> Устава</w:t>
      </w:r>
      <w:r w:rsidR="00B71706">
        <w:rPr>
          <w:rFonts w:ascii="Times New Roman" w:hAnsi="Times New Roman"/>
          <w:sz w:val="28"/>
          <w:szCs w:val="28"/>
        </w:rPr>
        <w:t xml:space="preserve"> Листвянского муниципального образования,</w:t>
      </w:r>
      <w:r w:rsidR="00B6440E">
        <w:rPr>
          <w:rFonts w:ascii="Times New Roman" w:hAnsi="Times New Roman"/>
          <w:sz w:val="28"/>
          <w:szCs w:val="28"/>
        </w:rPr>
        <w:t xml:space="preserve"> </w:t>
      </w:r>
      <w:r w:rsidR="000F0632">
        <w:rPr>
          <w:rFonts w:ascii="Times New Roman" w:hAnsi="Times New Roman"/>
          <w:sz w:val="28"/>
          <w:szCs w:val="28"/>
        </w:rPr>
        <w:t xml:space="preserve">Дума Листвянского муниципального образования </w:t>
      </w:r>
    </w:p>
    <w:p w:rsidR="00763231" w:rsidRPr="004C3763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231" w:rsidRDefault="00707393" w:rsidP="00FF7A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B0741" w:rsidRDefault="00FF7A08" w:rsidP="00175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B0741">
        <w:rPr>
          <w:rFonts w:ascii="Times New Roman" w:hAnsi="Times New Roman"/>
          <w:sz w:val="28"/>
          <w:szCs w:val="28"/>
        </w:rPr>
        <w:t>Установить и ввести в действие с 1 января 2020 года на территории Листвя</w:t>
      </w:r>
      <w:r w:rsidR="009B0741">
        <w:rPr>
          <w:rFonts w:ascii="Times New Roman" w:hAnsi="Times New Roman"/>
          <w:sz w:val="28"/>
          <w:szCs w:val="28"/>
        </w:rPr>
        <w:t>н</w:t>
      </w:r>
      <w:r w:rsidR="009B0741">
        <w:rPr>
          <w:rFonts w:ascii="Times New Roman" w:hAnsi="Times New Roman"/>
          <w:sz w:val="28"/>
          <w:szCs w:val="28"/>
        </w:rPr>
        <w:t>ского муниципального образования налог на имущество физических лиц.</w:t>
      </w:r>
    </w:p>
    <w:p w:rsidR="009B0741" w:rsidRDefault="009B0741" w:rsidP="00175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налоговая база по налогу на имущество физических лиц</w:t>
      </w:r>
      <w:r w:rsidR="00756070">
        <w:rPr>
          <w:rFonts w:ascii="Times New Roman" w:hAnsi="Times New Roman"/>
          <w:sz w:val="28"/>
          <w:szCs w:val="28"/>
        </w:rPr>
        <w:t xml:space="preserve"> в о</w:t>
      </w:r>
      <w:r w:rsidR="00756070">
        <w:rPr>
          <w:rFonts w:ascii="Times New Roman" w:hAnsi="Times New Roman"/>
          <w:sz w:val="28"/>
          <w:szCs w:val="28"/>
        </w:rPr>
        <w:t>т</w:t>
      </w:r>
      <w:r w:rsidR="00756070">
        <w:rPr>
          <w:rFonts w:ascii="Times New Roman" w:hAnsi="Times New Roman"/>
          <w:sz w:val="28"/>
          <w:szCs w:val="28"/>
        </w:rPr>
        <w:t>ношении объектов налогообло</w:t>
      </w:r>
      <w:r>
        <w:rPr>
          <w:rFonts w:ascii="Times New Roman" w:hAnsi="Times New Roman"/>
          <w:sz w:val="28"/>
          <w:szCs w:val="28"/>
        </w:rPr>
        <w:t>жения определяется исходя из кадастро</w:t>
      </w:r>
      <w:r w:rsidR="00756070">
        <w:rPr>
          <w:rFonts w:ascii="Times New Roman" w:hAnsi="Times New Roman"/>
          <w:sz w:val="28"/>
          <w:szCs w:val="28"/>
        </w:rPr>
        <w:t>вой стоим</w:t>
      </w:r>
      <w:r w:rsidR="00756070">
        <w:rPr>
          <w:rFonts w:ascii="Times New Roman" w:hAnsi="Times New Roman"/>
          <w:sz w:val="28"/>
          <w:szCs w:val="28"/>
        </w:rPr>
        <w:t>о</w:t>
      </w:r>
      <w:r w:rsidR="00756070">
        <w:rPr>
          <w:rFonts w:ascii="Times New Roman" w:hAnsi="Times New Roman"/>
          <w:sz w:val="28"/>
          <w:szCs w:val="28"/>
        </w:rPr>
        <w:t>сти объекта налогообло</w:t>
      </w:r>
      <w:r>
        <w:rPr>
          <w:rFonts w:ascii="Times New Roman" w:hAnsi="Times New Roman"/>
          <w:sz w:val="28"/>
          <w:szCs w:val="28"/>
        </w:rPr>
        <w:t>жения.</w:t>
      </w:r>
    </w:p>
    <w:p w:rsidR="00DC7831" w:rsidRDefault="009B0741" w:rsidP="00175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r w:rsidR="00756070">
        <w:rPr>
          <w:rFonts w:ascii="Times New Roman" w:hAnsi="Times New Roman"/>
          <w:sz w:val="28"/>
          <w:szCs w:val="28"/>
        </w:rPr>
        <w:t>Установить ставки налога на имущество физических лиц, исходя из кадастр</w:t>
      </w:r>
      <w:r w:rsidR="00756070">
        <w:rPr>
          <w:rFonts w:ascii="Times New Roman" w:hAnsi="Times New Roman"/>
          <w:sz w:val="28"/>
          <w:szCs w:val="28"/>
        </w:rPr>
        <w:t>о</w:t>
      </w:r>
      <w:r w:rsidR="00756070">
        <w:rPr>
          <w:rFonts w:ascii="Times New Roman" w:hAnsi="Times New Roman"/>
          <w:sz w:val="28"/>
          <w:szCs w:val="28"/>
        </w:rPr>
        <w:t>вой стоимости объекта налогообложения:</w:t>
      </w:r>
    </w:p>
    <w:tbl>
      <w:tblPr>
        <w:tblStyle w:val="a3"/>
        <w:tblW w:w="10150" w:type="dxa"/>
        <w:tblLook w:val="04A0"/>
      </w:tblPr>
      <w:tblGrid>
        <w:gridCol w:w="817"/>
        <w:gridCol w:w="5954"/>
        <w:gridCol w:w="3379"/>
      </w:tblGrid>
      <w:tr w:rsidR="00756070" w:rsidTr="00756070">
        <w:tc>
          <w:tcPr>
            <w:tcW w:w="817" w:type="dxa"/>
          </w:tcPr>
          <w:p w:rsidR="00756070" w:rsidRDefault="00756070" w:rsidP="0075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756070" w:rsidRDefault="00756070" w:rsidP="0075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3379" w:type="dxa"/>
          </w:tcPr>
          <w:p w:rsidR="00756070" w:rsidRDefault="00756070" w:rsidP="00756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ставка в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центах</w:t>
            </w:r>
          </w:p>
        </w:tc>
      </w:tr>
      <w:tr w:rsidR="00756070" w:rsidTr="00756070">
        <w:tc>
          <w:tcPr>
            <w:tcW w:w="817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налогообложения, кадастровая сто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мость которого не превышает 300 миллионов рублей (включительно):</w:t>
            </w:r>
          </w:p>
        </w:tc>
        <w:tc>
          <w:tcPr>
            <w:tcW w:w="3379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070" w:rsidTr="00756070">
        <w:tc>
          <w:tcPr>
            <w:tcW w:w="817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 (часть жилого дома)</w:t>
            </w:r>
          </w:p>
        </w:tc>
        <w:tc>
          <w:tcPr>
            <w:tcW w:w="3379" w:type="dxa"/>
          </w:tcPr>
          <w:p w:rsidR="00756070" w:rsidRDefault="00375594" w:rsidP="00375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0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6070" w:rsidTr="00756070">
        <w:tc>
          <w:tcPr>
            <w:tcW w:w="817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(часть квартиры)</w:t>
            </w:r>
          </w:p>
        </w:tc>
        <w:tc>
          <w:tcPr>
            <w:tcW w:w="3379" w:type="dxa"/>
          </w:tcPr>
          <w:p w:rsidR="00756070" w:rsidRDefault="00375594" w:rsidP="00375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0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6070" w:rsidTr="00756070">
        <w:tc>
          <w:tcPr>
            <w:tcW w:w="817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</w:p>
        </w:tc>
        <w:tc>
          <w:tcPr>
            <w:tcW w:w="5954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3379" w:type="dxa"/>
          </w:tcPr>
          <w:p w:rsidR="00756070" w:rsidRDefault="00375594" w:rsidP="00375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0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6070" w:rsidTr="00756070">
        <w:tc>
          <w:tcPr>
            <w:tcW w:w="817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</w:p>
        </w:tc>
        <w:tc>
          <w:tcPr>
            <w:tcW w:w="5954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>екта является жилой дом</w:t>
            </w:r>
          </w:p>
        </w:tc>
        <w:tc>
          <w:tcPr>
            <w:tcW w:w="3379" w:type="dxa"/>
          </w:tcPr>
          <w:p w:rsidR="00756070" w:rsidRDefault="00375594" w:rsidP="00375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0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6070" w:rsidTr="00756070">
        <w:tc>
          <w:tcPr>
            <w:tcW w:w="817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недвижимый комплекс, в состав кот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рого входит хотя бы один жилой дом</w:t>
            </w:r>
          </w:p>
        </w:tc>
        <w:tc>
          <w:tcPr>
            <w:tcW w:w="3379" w:type="dxa"/>
          </w:tcPr>
          <w:p w:rsidR="00756070" w:rsidRDefault="00375594" w:rsidP="00375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 w:rsidR="00E0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6070" w:rsidTr="00756070">
        <w:tc>
          <w:tcPr>
            <w:tcW w:w="817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54" w:type="dxa"/>
          </w:tcPr>
          <w:p w:rsidR="00756070" w:rsidRDefault="00756070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распол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женных в объектах налогообложения</w:t>
            </w:r>
            <w:r w:rsidR="00D275FF">
              <w:rPr>
                <w:rFonts w:ascii="Times New Roman" w:hAnsi="Times New Roman"/>
                <w:sz w:val="28"/>
                <w:szCs w:val="28"/>
              </w:rPr>
              <w:t>, указа</w:t>
            </w:r>
            <w:r w:rsidR="00D275FF">
              <w:rPr>
                <w:rFonts w:ascii="Times New Roman" w:hAnsi="Times New Roman"/>
                <w:sz w:val="28"/>
                <w:szCs w:val="28"/>
              </w:rPr>
              <w:t>н</w:t>
            </w:r>
            <w:r w:rsidR="00D275FF">
              <w:rPr>
                <w:rFonts w:ascii="Times New Roman" w:hAnsi="Times New Roman"/>
                <w:sz w:val="28"/>
                <w:szCs w:val="28"/>
              </w:rPr>
              <w:t>ных в подпункте 2 пункта 2 статьи 406 Налог</w:t>
            </w:r>
            <w:r w:rsidR="00D275FF">
              <w:rPr>
                <w:rFonts w:ascii="Times New Roman" w:hAnsi="Times New Roman"/>
                <w:sz w:val="28"/>
                <w:szCs w:val="28"/>
              </w:rPr>
              <w:t>о</w:t>
            </w:r>
            <w:r w:rsidR="00D275FF">
              <w:rPr>
                <w:rFonts w:ascii="Times New Roman" w:hAnsi="Times New Roman"/>
                <w:sz w:val="28"/>
                <w:szCs w:val="28"/>
              </w:rPr>
              <w:t>вого кодекса РФ</w:t>
            </w:r>
          </w:p>
        </w:tc>
        <w:tc>
          <w:tcPr>
            <w:tcW w:w="3379" w:type="dxa"/>
          </w:tcPr>
          <w:p w:rsidR="00756070" w:rsidRDefault="00375594" w:rsidP="00375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0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75FF" w:rsidTr="00756070">
        <w:tc>
          <w:tcPr>
            <w:tcW w:w="817" w:type="dxa"/>
          </w:tcPr>
          <w:p w:rsidR="00D275FF" w:rsidRDefault="00D275FF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54" w:type="dxa"/>
          </w:tcPr>
          <w:p w:rsidR="00D275FF" w:rsidRDefault="00D275FF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хозяйственное строение или сооружение,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ва, садоводства или индивидуального жили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строительства  </w:t>
            </w:r>
          </w:p>
        </w:tc>
        <w:tc>
          <w:tcPr>
            <w:tcW w:w="3379" w:type="dxa"/>
          </w:tcPr>
          <w:p w:rsidR="00D275FF" w:rsidRDefault="00375594" w:rsidP="00375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016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75FF" w:rsidTr="00756070">
        <w:tc>
          <w:tcPr>
            <w:tcW w:w="817" w:type="dxa"/>
          </w:tcPr>
          <w:p w:rsidR="00D275FF" w:rsidRDefault="00D275FF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275FF" w:rsidRDefault="00D275FF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налогообложения, кадастровая сто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мость которого превышает 300 миллионов ру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лей, а также </w:t>
            </w:r>
            <w:r w:rsidR="00931365">
              <w:rPr>
                <w:rFonts w:ascii="Times New Roman" w:hAnsi="Times New Roman"/>
                <w:sz w:val="28"/>
                <w:szCs w:val="28"/>
              </w:rPr>
              <w:t>объекты налогообложения, вкл</w:t>
            </w:r>
            <w:r w:rsidR="00931365">
              <w:rPr>
                <w:rFonts w:ascii="Times New Roman" w:hAnsi="Times New Roman"/>
                <w:sz w:val="28"/>
                <w:szCs w:val="28"/>
              </w:rPr>
              <w:t>ю</w:t>
            </w:r>
            <w:r w:rsidR="00931365">
              <w:rPr>
                <w:rFonts w:ascii="Times New Roman" w:hAnsi="Times New Roman"/>
                <w:sz w:val="28"/>
                <w:szCs w:val="28"/>
              </w:rPr>
              <w:t>ченные в перечень, определяемый в соответс</w:t>
            </w:r>
            <w:r w:rsidR="00931365">
              <w:rPr>
                <w:rFonts w:ascii="Times New Roman" w:hAnsi="Times New Roman"/>
                <w:sz w:val="28"/>
                <w:szCs w:val="28"/>
              </w:rPr>
              <w:t>т</w:t>
            </w:r>
            <w:r w:rsidR="00931365">
              <w:rPr>
                <w:rFonts w:ascii="Times New Roman" w:hAnsi="Times New Roman"/>
                <w:sz w:val="28"/>
                <w:szCs w:val="28"/>
              </w:rPr>
              <w:t>вии с пунктом 7 статьи 378.2 Налогового к</w:t>
            </w:r>
            <w:r w:rsidR="00931365">
              <w:rPr>
                <w:rFonts w:ascii="Times New Roman" w:hAnsi="Times New Roman"/>
                <w:sz w:val="28"/>
                <w:szCs w:val="28"/>
              </w:rPr>
              <w:t>о</w:t>
            </w:r>
            <w:r w:rsidR="00931365">
              <w:rPr>
                <w:rFonts w:ascii="Times New Roman" w:hAnsi="Times New Roman"/>
                <w:sz w:val="28"/>
                <w:szCs w:val="28"/>
              </w:rPr>
              <w:t>декса РФ, объекты налогообложения, пред</w:t>
            </w:r>
            <w:r w:rsidR="00931365">
              <w:rPr>
                <w:rFonts w:ascii="Times New Roman" w:hAnsi="Times New Roman"/>
                <w:sz w:val="28"/>
                <w:szCs w:val="28"/>
              </w:rPr>
              <w:t>у</w:t>
            </w:r>
            <w:r w:rsidR="00931365">
              <w:rPr>
                <w:rFonts w:ascii="Times New Roman" w:hAnsi="Times New Roman"/>
                <w:sz w:val="28"/>
                <w:szCs w:val="28"/>
              </w:rPr>
              <w:t>смотренные абзацем 2 пункта 10 статьи 378.2 Налогового кодекса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379" w:type="dxa"/>
          </w:tcPr>
          <w:p w:rsidR="00D275FF" w:rsidRDefault="00375594" w:rsidP="00375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D275FF" w:rsidTr="00756070">
        <w:tc>
          <w:tcPr>
            <w:tcW w:w="817" w:type="dxa"/>
          </w:tcPr>
          <w:p w:rsidR="00D275FF" w:rsidRDefault="00931365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275FF" w:rsidRDefault="00931365" w:rsidP="00175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379" w:type="dxa"/>
          </w:tcPr>
          <w:p w:rsidR="00D275FF" w:rsidRDefault="00375594" w:rsidP="00375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756070" w:rsidRPr="00DA29F4" w:rsidRDefault="00756070" w:rsidP="00175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594" w:rsidRDefault="00375594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1E7C" w:rsidRPr="0053073C">
        <w:rPr>
          <w:rFonts w:ascii="Times New Roman" w:hAnsi="Times New Roman"/>
          <w:sz w:val="28"/>
          <w:szCs w:val="28"/>
        </w:rPr>
        <w:t>.</w:t>
      </w:r>
      <w:r w:rsidR="00DC7831" w:rsidRPr="00530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Довести настоящее решение до сведения УФНС России по Иркутской области и министерства финансов Иркутской области.</w:t>
      </w:r>
    </w:p>
    <w:p w:rsidR="00375594" w:rsidRDefault="00375594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 силу Решение Думы Листвянского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от 28.11.2014г. №132-дгп «Об </w:t>
      </w:r>
      <w:r w:rsidR="00D70AE1">
        <w:rPr>
          <w:rFonts w:ascii="Times New Roman" w:hAnsi="Times New Roman"/>
          <w:sz w:val="28"/>
          <w:szCs w:val="28"/>
        </w:rPr>
        <w:t>установлении и ведении в действие нал</w:t>
      </w:r>
      <w:r w:rsidR="00D70AE1">
        <w:rPr>
          <w:rFonts w:ascii="Times New Roman" w:hAnsi="Times New Roman"/>
          <w:sz w:val="28"/>
          <w:szCs w:val="28"/>
        </w:rPr>
        <w:t>о</w:t>
      </w:r>
      <w:r w:rsidR="00D70AE1">
        <w:rPr>
          <w:rFonts w:ascii="Times New Roman" w:hAnsi="Times New Roman"/>
          <w:sz w:val="28"/>
          <w:szCs w:val="28"/>
        </w:rPr>
        <w:t>га</w:t>
      </w:r>
      <w:r w:rsidR="002A71DF"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Листвянского муниципального образования».</w:t>
      </w:r>
      <w:r w:rsidR="00D70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F328A" w:rsidRPr="0053073C">
        <w:rPr>
          <w:rFonts w:ascii="Times New Roman" w:hAnsi="Times New Roman"/>
          <w:sz w:val="28"/>
          <w:szCs w:val="28"/>
        </w:rPr>
        <w:t xml:space="preserve"> </w:t>
      </w:r>
    </w:p>
    <w:p w:rsidR="00E0167D" w:rsidRPr="00E0167D" w:rsidRDefault="00E0167D" w:rsidP="00E016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67D">
        <w:rPr>
          <w:rFonts w:ascii="Times New Roman" w:hAnsi="Times New Roman" w:cs="Times New Roman"/>
          <w:sz w:val="28"/>
          <w:szCs w:val="28"/>
        </w:rPr>
        <w:t>6.  Настоящее решение вступает в силу с 1 января 2020 года, но не ранее чем по истечении м</w:t>
      </w:r>
      <w:r w:rsidRPr="00E0167D">
        <w:rPr>
          <w:rFonts w:ascii="Times New Roman" w:hAnsi="Times New Roman" w:cs="Times New Roman"/>
          <w:sz w:val="28"/>
          <w:szCs w:val="28"/>
        </w:rPr>
        <w:t>е</w:t>
      </w:r>
      <w:r w:rsidRPr="00E0167D">
        <w:rPr>
          <w:rFonts w:ascii="Times New Roman" w:hAnsi="Times New Roman" w:cs="Times New Roman"/>
          <w:sz w:val="28"/>
          <w:szCs w:val="28"/>
        </w:rPr>
        <w:t>сяца с момента официального опубликования.</w:t>
      </w:r>
    </w:p>
    <w:p w:rsidR="00E22E10" w:rsidRPr="00E0167D" w:rsidRDefault="00E0167D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71DF" w:rsidRPr="00E0167D">
        <w:rPr>
          <w:rFonts w:ascii="Times New Roman" w:hAnsi="Times New Roman"/>
          <w:sz w:val="28"/>
          <w:szCs w:val="28"/>
        </w:rPr>
        <w:t xml:space="preserve">. </w:t>
      </w:r>
      <w:r w:rsidR="00E22E10" w:rsidRPr="00E0167D">
        <w:rPr>
          <w:rFonts w:ascii="Times New Roman" w:hAnsi="Times New Roman"/>
          <w:sz w:val="28"/>
          <w:szCs w:val="28"/>
        </w:rPr>
        <w:t>Опубликовать настоящее ре</w:t>
      </w:r>
      <w:r>
        <w:rPr>
          <w:rFonts w:ascii="Times New Roman" w:hAnsi="Times New Roman"/>
          <w:sz w:val="28"/>
          <w:szCs w:val="28"/>
        </w:rPr>
        <w:t xml:space="preserve">шение в газете «Наша Листвянка» и разместить на официальном сайте администрации Листвянского муниципального образования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E0167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listv</w:t>
      </w:r>
      <w:proofErr w:type="spellEnd"/>
      <w:r w:rsidRPr="00E0167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E0167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0167D">
        <w:rPr>
          <w:rFonts w:ascii="Times New Roman" w:hAnsi="Times New Roman"/>
          <w:sz w:val="28"/>
          <w:szCs w:val="28"/>
        </w:rPr>
        <w:t>.</w:t>
      </w:r>
    </w:p>
    <w:p w:rsidR="00996B93" w:rsidRPr="00E0167D" w:rsidRDefault="00996B93" w:rsidP="0053073C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2F328A" w:rsidRPr="0053073C" w:rsidRDefault="00B71E7C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73C">
        <w:rPr>
          <w:rFonts w:ascii="Times New Roman" w:hAnsi="Times New Roman"/>
          <w:sz w:val="28"/>
          <w:szCs w:val="28"/>
        </w:rPr>
        <w:t>Председатель</w:t>
      </w:r>
      <w:r w:rsidR="00DC7831" w:rsidRPr="0053073C">
        <w:rPr>
          <w:rFonts w:ascii="Times New Roman" w:hAnsi="Times New Roman"/>
          <w:sz w:val="28"/>
          <w:szCs w:val="28"/>
        </w:rPr>
        <w:t xml:space="preserve"> Думы Листвянского</w:t>
      </w:r>
      <w:r w:rsidR="00CF19B3" w:rsidRPr="0053073C">
        <w:rPr>
          <w:rFonts w:ascii="Times New Roman" w:hAnsi="Times New Roman"/>
          <w:sz w:val="28"/>
          <w:szCs w:val="28"/>
        </w:rPr>
        <w:t xml:space="preserve">                  </w:t>
      </w:r>
      <w:r w:rsidRPr="0053073C">
        <w:rPr>
          <w:rFonts w:ascii="Times New Roman" w:hAnsi="Times New Roman"/>
          <w:sz w:val="28"/>
          <w:szCs w:val="28"/>
        </w:rPr>
        <w:t xml:space="preserve">      </w:t>
      </w:r>
      <w:r w:rsidR="00D842FD">
        <w:rPr>
          <w:rFonts w:ascii="Times New Roman" w:hAnsi="Times New Roman"/>
          <w:sz w:val="28"/>
          <w:szCs w:val="28"/>
        </w:rPr>
        <w:t>Глава</w:t>
      </w:r>
      <w:r w:rsidR="002F328A" w:rsidRPr="0053073C">
        <w:rPr>
          <w:rFonts w:ascii="Times New Roman" w:hAnsi="Times New Roman"/>
          <w:sz w:val="28"/>
          <w:szCs w:val="28"/>
        </w:rPr>
        <w:t xml:space="preserve"> Листвянского</w:t>
      </w:r>
    </w:p>
    <w:p w:rsidR="002F328A" w:rsidRDefault="00DC7831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 w:rsidR="00CF19B3">
        <w:rPr>
          <w:rFonts w:ascii="Times New Roman" w:hAnsi="Times New Roman"/>
          <w:sz w:val="28"/>
          <w:szCs w:val="28"/>
        </w:rPr>
        <w:t xml:space="preserve">                           </w:t>
      </w:r>
      <w:r w:rsidR="002F328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C7831" w:rsidRDefault="00E0167D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_______________/ </w:t>
      </w:r>
      <w:proofErr w:type="spellStart"/>
      <w:r>
        <w:rPr>
          <w:rFonts w:ascii="Times New Roman" w:hAnsi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  <w:r w:rsidR="00175F77">
        <w:rPr>
          <w:rFonts w:ascii="Times New Roman" w:hAnsi="Times New Roman"/>
          <w:sz w:val="28"/>
          <w:szCs w:val="28"/>
        </w:rPr>
        <w:t xml:space="preserve">/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71E7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175F77">
        <w:rPr>
          <w:rFonts w:ascii="Times New Roman" w:hAnsi="Times New Roman"/>
          <w:sz w:val="28"/>
          <w:szCs w:val="28"/>
        </w:rPr>
        <w:t>/</w:t>
      </w:r>
    </w:p>
    <w:p w:rsidR="006A37AA" w:rsidRPr="006D6DC4" w:rsidRDefault="006A37A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37AA" w:rsidRPr="006D6DC4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86A1D"/>
    <w:rsid w:val="000A598E"/>
    <w:rsid w:val="000B092C"/>
    <w:rsid w:val="000B43DF"/>
    <w:rsid w:val="000E0546"/>
    <w:rsid w:val="000F0632"/>
    <w:rsid w:val="0010059C"/>
    <w:rsid w:val="001128F2"/>
    <w:rsid w:val="00124DEA"/>
    <w:rsid w:val="00162920"/>
    <w:rsid w:val="00166C09"/>
    <w:rsid w:val="00175F77"/>
    <w:rsid w:val="00194A59"/>
    <w:rsid w:val="001A49ED"/>
    <w:rsid w:val="001A7634"/>
    <w:rsid w:val="001C1BEC"/>
    <w:rsid w:val="001D21A6"/>
    <w:rsid w:val="001E4545"/>
    <w:rsid w:val="001E6BF5"/>
    <w:rsid w:val="001F151A"/>
    <w:rsid w:val="00231DED"/>
    <w:rsid w:val="00237DD2"/>
    <w:rsid w:val="00264239"/>
    <w:rsid w:val="002760FA"/>
    <w:rsid w:val="002861FF"/>
    <w:rsid w:val="002A102F"/>
    <w:rsid w:val="002A346D"/>
    <w:rsid w:val="002A71DF"/>
    <w:rsid w:val="002B213D"/>
    <w:rsid w:val="002D0C48"/>
    <w:rsid w:val="002E2E46"/>
    <w:rsid w:val="002F328A"/>
    <w:rsid w:val="002F4262"/>
    <w:rsid w:val="002F60BD"/>
    <w:rsid w:val="003069EA"/>
    <w:rsid w:val="00357904"/>
    <w:rsid w:val="00360C07"/>
    <w:rsid w:val="0037476B"/>
    <w:rsid w:val="00375594"/>
    <w:rsid w:val="0038695B"/>
    <w:rsid w:val="00390F49"/>
    <w:rsid w:val="003A35AF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A4240"/>
    <w:rsid w:val="004B728C"/>
    <w:rsid w:val="004C3763"/>
    <w:rsid w:val="004D7914"/>
    <w:rsid w:val="00517970"/>
    <w:rsid w:val="00517BB9"/>
    <w:rsid w:val="00522FED"/>
    <w:rsid w:val="0053073C"/>
    <w:rsid w:val="00534B57"/>
    <w:rsid w:val="005422E8"/>
    <w:rsid w:val="00572E9B"/>
    <w:rsid w:val="005957CF"/>
    <w:rsid w:val="005A1B15"/>
    <w:rsid w:val="00600402"/>
    <w:rsid w:val="00643ED2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56070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33E9E"/>
    <w:rsid w:val="00854884"/>
    <w:rsid w:val="0085518A"/>
    <w:rsid w:val="008766F8"/>
    <w:rsid w:val="00882312"/>
    <w:rsid w:val="00885E29"/>
    <w:rsid w:val="00893741"/>
    <w:rsid w:val="008A6802"/>
    <w:rsid w:val="008D7E24"/>
    <w:rsid w:val="008E6BB2"/>
    <w:rsid w:val="008F45D5"/>
    <w:rsid w:val="008F6006"/>
    <w:rsid w:val="009006FA"/>
    <w:rsid w:val="00903FFC"/>
    <w:rsid w:val="00922A35"/>
    <w:rsid w:val="00931365"/>
    <w:rsid w:val="0093597D"/>
    <w:rsid w:val="00937254"/>
    <w:rsid w:val="00942607"/>
    <w:rsid w:val="00944F13"/>
    <w:rsid w:val="009469DA"/>
    <w:rsid w:val="009625EE"/>
    <w:rsid w:val="009634CE"/>
    <w:rsid w:val="0098547A"/>
    <w:rsid w:val="00991C79"/>
    <w:rsid w:val="00996B93"/>
    <w:rsid w:val="009973E1"/>
    <w:rsid w:val="009A372E"/>
    <w:rsid w:val="009A66E7"/>
    <w:rsid w:val="009B0741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6399"/>
    <w:rsid w:val="00AB0F35"/>
    <w:rsid w:val="00AB17FD"/>
    <w:rsid w:val="00AB4AEA"/>
    <w:rsid w:val="00B136FB"/>
    <w:rsid w:val="00B31D06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E2BDD"/>
    <w:rsid w:val="00BF5482"/>
    <w:rsid w:val="00C14C13"/>
    <w:rsid w:val="00C1582B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96E02"/>
    <w:rsid w:val="00CB3028"/>
    <w:rsid w:val="00CF19B3"/>
    <w:rsid w:val="00CF7BA0"/>
    <w:rsid w:val="00D075DC"/>
    <w:rsid w:val="00D112C8"/>
    <w:rsid w:val="00D136D9"/>
    <w:rsid w:val="00D275FF"/>
    <w:rsid w:val="00D437F4"/>
    <w:rsid w:val="00D45498"/>
    <w:rsid w:val="00D46A1B"/>
    <w:rsid w:val="00D70AE1"/>
    <w:rsid w:val="00D74BF3"/>
    <w:rsid w:val="00D74C28"/>
    <w:rsid w:val="00D7794F"/>
    <w:rsid w:val="00D842FD"/>
    <w:rsid w:val="00D9250F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167D"/>
    <w:rsid w:val="00E02802"/>
    <w:rsid w:val="00E22E10"/>
    <w:rsid w:val="00E40390"/>
    <w:rsid w:val="00E552E5"/>
    <w:rsid w:val="00E93856"/>
    <w:rsid w:val="00EA57E4"/>
    <w:rsid w:val="00EE3123"/>
    <w:rsid w:val="00EE6626"/>
    <w:rsid w:val="00EF2C13"/>
    <w:rsid w:val="00EF5E2F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26534-8645-480D-9503-7DAB33CD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3</cp:revision>
  <cp:lastPrinted>2019-12-03T03:41:00Z</cp:lastPrinted>
  <dcterms:created xsi:type="dcterms:W3CDTF">2019-11-26T05:31:00Z</dcterms:created>
  <dcterms:modified xsi:type="dcterms:W3CDTF">2019-12-03T03:43:00Z</dcterms:modified>
</cp:coreProperties>
</file>