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DB2FD9" w:rsidRDefault="002E2441" w:rsidP="002E2441">
      <w:pPr>
        <w:jc w:val="center"/>
        <w:rPr>
          <w:sz w:val="36"/>
          <w:szCs w:val="36"/>
        </w:rPr>
      </w:pPr>
      <w:r w:rsidRPr="00DB2FD9">
        <w:rPr>
          <w:sz w:val="36"/>
          <w:szCs w:val="36"/>
        </w:rPr>
        <w:t>Российская Федерация</w:t>
      </w:r>
    </w:p>
    <w:p w:rsidR="002E2441" w:rsidRPr="00DB2FD9" w:rsidRDefault="002E2441" w:rsidP="002E2441">
      <w:pPr>
        <w:jc w:val="center"/>
        <w:rPr>
          <w:sz w:val="36"/>
          <w:szCs w:val="36"/>
        </w:rPr>
      </w:pPr>
      <w:r w:rsidRPr="00DB2FD9">
        <w:rPr>
          <w:sz w:val="36"/>
          <w:szCs w:val="36"/>
        </w:rPr>
        <w:t>Иркутская область</w:t>
      </w:r>
    </w:p>
    <w:p w:rsidR="002E2441" w:rsidRPr="00DB2FD9" w:rsidRDefault="002E2441" w:rsidP="002E2441">
      <w:pPr>
        <w:jc w:val="center"/>
        <w:rPr>
          <w:sz w:val="36"/>
          <w:szCs w:val="36"/>
        </w:rPr>
      </w:pPr>
      <w:r w:rsidRPr="00DB2FD9">
        <w:rPr>
          <w:sz w:val="36"/>
          <w:szCs w:val="36"/>
        </w:rPr>
        <w:t>Иркутский район</w:t>
      </w:r>
    </w:p>
    <w:p w:rsidR="007C3AA7" w:rsidRPr="00DB2FD9" w:rsidRDefault="003C6CF6" w:rsidP="007C3AA7">
      <w:pPr>
        <w:jc w:val="center"/>
        <w:rPr>
          <w:sz w:val="36"/>
          <w:szCs w:val="36"/>
        </w:rPr>
      </w:pPr>
      <w:r w:rsidRPr="00DB2FD9">
        <w:rPr>
          <w:sz w:val="36"/>
          <w:szCs w:val="36"/>
        </w:rPr>
        <w:t>Администрация</w:t>
      </w:r>
      <w:r w:rsidR="002E2441" w:rsidRPr="00DB2FD9">
        <w:rPr>
          <w:sz w:val="36"/>
          <w:szCs w:val="36"/>
        </w:rPr>
        <w:t xml:space="preserve"> Листвянского муниципального образования</w:t>
      </w:r>
      <w:r w:rsidR="007C3AA7" w:rsidRPr="00DB2FD9">
        <w:rPr>
          <w:sz w:val="36"/>
          <w:szCs w:val="36"/>
        </w:rPr>
        <w:t xml:space="preserve"> –</w:t>
      </w:r>
    </w:p>
    <w:p w:rsidR="007C3AA7" w:rsidRPr="00DB2FD9" w:rsidRDefault="00742D0C" w:rsidP="007C3AA7">
      <w:pPr>
        <w:jc w:val="center"/>
        <w:rPr>
          <w:sz w:val="36"/>
          <w:szCs w:val="36"/>
        </w:rPr>
      </w:pPr>
      <w:r w:rsidRPr="00DB2FD9">
        <w:rPr>
          <w:sz w:val="36"/>
          <w:szCs w:val="36"/>
        </w:rPr>
        <w:t>Администрация</w:t>
      </w:r>
      <w:r w:rsidR="007C3AA7" w:rsidRPr="00DB2FD9">
        <w:rPr>
          <w:sz w:val="36"/>
          <w:szCs w:val="36"/>
        </w:rPr>
        <w:t xml:space="preserve"> городского поселения</w:t>
      </w:r>
    </w:p>
    <w:p w:rsidR="002E2441" w:rsidRPr="00DB2FD9" w:rsidRDefault="002E2441" w:rsidP="002E2441">
      <w:pPr>
        <w:jc w:val="center"/>
        <w:rPr>
          <w:sz w:val="36"/>
          <w:szCs w:val="36"/>
        </w:rPr>
      </w:pPr>
    </w:p>
    <w:p w:rsidR="003C6CF6" w:rsidRPr="00DB2FD9" w:rsidRDefault="003C6CF6" w:rsidP="003C6CF6">
      <w:pPr>
        <w:jc w:val="center"/>
        <w:rPr>
          <w:b/>
          <w:sz w:val="36"/>
          <w:szCs w:val="36"/>
        </w:rPr>
      </w:pPr>
      <w:r w:rsidRPr="00DB2FD9">
        <w:rPr>
          <w:b/>
          <w:sz w:val="36"/>
          <w:szCs w:val="36"/>
        </w:rPr>
        <w:t>ПОСТАНОВЛЕНИЕ</w:t>
      </w:r>
    </w:p>
    <w:p w:rsidR="002E2441" w:rsidRPr="00DB2FD9" w:rsidRDefault="002E2441"/>
    <w:p w:rsidR="003C6CF6" w:rsidRPr="00DB2FD9" w:rsidRDefault="003C6CF6"/>
    <w:p w:rsidR="002E2441" w:rsidRPr="00DB2FD9" w:rsidRDefault="002E2441">
      <w:r w:rsidRPr="00DB2FD9">
        <w:t xml:space="preserve">От </w:t>
      </w:r>
      <w:r w:rsidR="003C6CF6" w:rsidRPr="00DB2FD9">
        <w:t>«</w:t>
      </w:r>
      <w:r w:rsidR="00D1772B">
        <w:t>15</w:t>
      </w:r>
      <w:r w:rsidR="003C6CF6" w:rsidRPr="00DB2FD9">
        <w:t xml:space="preserve">» </w:t>
      </w:r>
      <w:r w:rsidR="00D1772B">
        <w:t xml:space="preserve">ноября </w:t>
      </w:r>
      <w:r w:rsidR="003C6CF6" w:rsidRPr="00DB2FD9">
        <w:t>20</w:t>
      </w:r>
      <w:r w:rsidR="00D1772B">
        <w:t>17 года</w:t>
      </w:r>
      <w:r w:rsidR="003C6CF6" w:rsidRPr="00DB2FD9">
        <w:t xml:space="preserve"> №</w:t>
      </w:r>
      <w:r w:rsidR="00D1772B">
        <w:t>122</w:t>
      </w:r>
    </w:p>
    <w:p w:rsidR="002E2441" w:rsidRPr="00DB2FD9" w:rsidRDefault="002E2441">
      <w:proofErr w:type="spellStart"/>
      <w:r w:rsidRPr="00DB2FD9">
        <w:t>рп.Листвянка</w:t>
      </w:r>
      <w:proofErr w:type="spellEnd"/>
    </w:p>
    <w:p w:rsidR="002E2441" w:rsidRPr="00DB2FD9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9D3C86" w:rsidRPr="00DB2FD9" w:rsidTr="0044267A">
        <w:tc>
          <w:tcPr>
            <w:tcW w:w="4927" w:type="dxa"/>
          </w:tcPr>
          <w:p w:rsidR="009D3C86" w:rsidRPr="00DB2FD9" w:rsidRDefault="0044267A" w:rsidP="008064A3">
            <w:pPr>
              <w:ind w:right="-1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 xml:space="preserve">Об установлении стоимости гарантированного перечня услуг по погребению </w:t>
            </w:r>
          </w:p>
        </w:tc>
        <w:tc>
          <w:tcPr>
            <w:tcW w:w="4927" w:type="dxa"/>
          </w:tcPr>
          <w:p w:rsidR="009D3C86" w:rsidRPr="00DB2FD9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26C9B" w:rsidRPr="00DB2FD9" w:rsidRDefault="00E26C9B" w:rsidP="003C6CF6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E26C9B" w:rsidRPr="00DB2FD9" w:rsidRDefault="00754040" w:rsidP="0040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06.10.2003г. «Об общих принципах организации местного самоуправления в Российской Федерации», Федеральн</w:t>
      </w:r>
      <w:r w:rsidR="008064A3" w:rsidRPr="00DB2FD9">
        <w:rPr>
          <w:rFonts w:ascii="Times New Roman" w:hAnsi="Times New Roman" w:cs="Times New Roman"/>
          <w:sz w:val="28"/>
          <w:szCs w:val="28"/>
        </w:rPr>
        <w:t>ым</w:t>
      </w:r>
      <w:r w:rsidRPr="00DB2F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64A3" w:rsidRPr="00DB2FD9">
        <w:rPr>
          <w:rFonts w:ascii="Times New Roman" w:hAnsi="Times New Roman" w:cs="Times New Roman"/>
          <w:sz w:val="28"/>
          <w:szCs w:val="28"/>
        </w:rPr>
        <w:t>ом</w:t>
      </w:r>
      <w:r w:rsidRPr="00DB2FD9">
        <w:rPr>
          <w:rFonts w:ascii="Times New Roman" w:hAnsi="Times New Roman" w:cs="Times New Roman"/>
          <w:sz w:val="28"/>
          <w:szCs w:val="28"/>
        </w:rPr>
        <w:t xml:space="preserve"> от 12.01.1996г. №8-ФЗ «О погребении и похоронном деле», руководствуясь ст. ст. 6, 24, 48 Устава Листвянского муниципального образования, администрация Листвянского муниципального образования, </w:t>
      </w:r>
    </w:p>
    <w:p w:rsidR="00E26C9B" w:rsidRPr="00DB2FD9" w:rsidRDefault="00801ED5" w:rsidP="004052CA">
      <w:pPr>
        <w:ind w:firstLine="709"/>
        <w:jc w:val="both"/>
        <w:rPr>
          <w:sz w:val="28"/>
          <w:szCs w:val="28"/>
        </w:rPr>
      </w:pPr>
      <w:r w:rsidRPr="00DB2FD9">
        <w:rPr>
          <w:sz w:val="28"/>
          <w:szCs w:val="28"/>
        </w:rPr>
        <w:t>ПОСТАНОВЛЯЕТ</w:t>
      </w:r>
      <w:r w:rsidR="004052CA">
        <w:rPr>
          <w:sz w:val="28"/>
          <w:szCs w:val="28"/>
        </w:rPr>
        <w:t>:</w:t>
      </w:r>
    </w:p>
    <w:p w:rsidR="00754040" w:rsidRPr="00DB2FD9" w:rsidRDefault="00754040" w:rsidP="00754040">
      <w:pPr>
        <w:ind w:firstLine="709"/>
        <w:jc w:val="both"/>
        <w:rPr>
          <w:sz w:val="28"/>
          <w:szCs w:val="28"/>
        </w:rPr>
      </w:pPr>
      <w:r w:rsidRPr="00DB2FD9">
        <w:rPr>
          <w:sz w:val="28"/>
          <w:szCs w:val="28"/>
        </w:rPr>
        <w:t>1.  Установить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приложению №1.</w:t>
      </w:r>
    </w:p>
    <w:p w:rsidR="00754040" w:rsidRPr="00DB2FD9" w:rsidRDefault="00754040" w:rsidP="00754040">
      <w:pPr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DB2FD9">
        <w:rPr>
          <w:sz w:val="28"/>
          <w:szCs w:val="28"/>
        </w:rPr>
        <w:t>2. Установить стоимость услуг, предоставляемых специализированными службами по вопросам похоронного дела в соответствии со ст. 12 Федерального закона от 12.01.1996г.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</w:t>
      </w:r>
      <w:r w:rsidR="0044267A" w:rsidRPr="00DB2FD9">
        <w:rPr>
          <w:sz w:val="28"/>
          <w:szCs w:val="28"/>
        </w:rPr>
        <w:t>и</w:t>
      </w:r>
      <w:r w:rsidRPr="00DB2FD9">
        <w:rPr>
          <w:sz w:val="28"/>
          <w:szCs w:val="28"/>
        </w:rPr>
        <w:t>, согласно приложению №2.</w:t>
      </w:r>
    </w:p>
    <w:p w:rsidR="00754040" w:rsidRPr="00DB2FD9" w:rsidRDefault="00754040" w:rsidP="00754040">
      <w:pPr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DB2FD9">
        <w:rPr>
          <w:sz w:val="28"/>
          <w:szCs w:val="28"/>
        </w:rPr>
        <w:t>3. Настоящее постановление распространяется на правоотношения, возникшие с 01.0</w:t>
      </w:r>
      <w:r w:rsidR="0044267A" w:rsidRPr="00DB2FD9">
        <w:rPr>
          <w:sz w:val="28"/>
          <w:szCs w:val="28"/>
        </w:rPr>
        <w:t>1</w:t>
      </w:r>
      <w:r w:rsidRPr="00DB2FD9">
        <w:rPr>
          <w:sz w:val="28"/>
          <w:szCs w:val="28"/>
        </w:rPr>
        <w:t>.2018 года</w:t>
      </w:r>
      <w:r w:rsidR="0044267A" w:rsidRPr="00DB2FD9">
        <w:rPr>
          <w:sz w:val="28"/>
          <w:szCs w:val="28"/>
        </w:rPr>
        <w:t xml:space="preserve"> по </w:t>
      </w:r>
      <w:r w:rsidR="008064A3" w:rsidRPr="00DB2FD9">
        <w:rPr>
          <w:sz w:val="28"/>
          <w:szCs w:val="28"/>
        </w:rPr>
        <w:t>31</w:t>
      </w:r>
      <w:r w:rsidR="0044267A" w:rsidRPr="00DB2FD9">
        <w:rPr>
          <w:sz w:val="28"/>
          <w:szCs w:val="28"/>
        </w:rPr>
        <w:t>.0</w:t>
      </w:r>
      <w:r w:rsidR="008064A3" w:rsidRPr="00DB2FD9">
        <w:rPr>
          <w:sz w:val="28"/>
          <w:szCs w:val="28"/>
        </w:rPr>
        <w:t>1</w:t>
      </w:r>
      <w:r w:rsidR="0044267A" w:rsidRPr="00DB2FD9">
        <w:rPr>
          <w:sz w:val="28"/>
          <w:szCs w:val="28"/>
        </w:rPr>
        <w:t>.2018 года.</w:t>
      </w:r>
    </w:p>
    <w:p w:rsidR="00754040" w:rsidRPr="00DB2FD9" w:rsidRDefault="00754040" w:rsidP="007540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B2FD9">
        <w:rPr>
          <w:sz w:val="28"/>
          <w:szCs w:val="28"/>
        </w:rPr>
        <w:t>4. Опубликовать настоящее постановление в газете «Наша Листвянка».</w:t>
      </w:r>
    </w:p>
    <w:p w:rsidR="00754040" w:rsidRPr="00DB2FD9" w:rsidRDefault="00754040" w:rsidP="007540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B2FD9">
        <w:rPr>
          <w:sz w:val="28"/>
          <w:szCs w:val="28"/>
        </w:rPr>
        <w:t>5. Контроль за исполнением настоящего постановления возложить на заместителя Главы Листвянского муниципального образования Ушарова А.С.</w:t>
      </w:r>
    </w:p>
    <w:p w:rsidR="00754040" w:rsidRPr="00DB2FD9" w:rsidRDefault="00754040" w:rsidP="00754040">
      <w:pPr>
        <w:pStyle w:val="a4"/>
        <w:ind w:left="0" w:firstLine="709"/>
        <w:jc w:val="both"/>
        <w:rPr>
          <w:sz w:val="28"/>
          <w:szCs w:val="28"/>
        </w:rPr>
      </w:pPr>
    </w:p>
    <w:p w:rsidR="00E26C9B" w:rsidRPr="00DB2FD9" w:rsidRDefault="00E26C9B" w:rsidP="00754040">
      <w:pPr>
        <w:pStyle w:val="a4"/>
        <w:ind w:left="0" w:firstLine="709"/>
        <w:jc w:val="both"/>
        <w:rPr>
          <w:sz w:val="28"/>
          <w:szCs w:val="28"/>
        </w:rPr>
      </w:pPr>
    </w:p>
    <w:p w:rsidR="004052CA" w:rsidRPr="00DB2FD9" w:rsidRDefault="00754040" w:rsidP="004052CA">
      <w:pPr>
        <w:pStyle w:val="a4"/>
        <w:ind w:left="0"/>
        <w:jc w:val="both"/>
        <w:rPr>
          <w:sz w:val="28"/>
          <w:szCs w:val="28"/>
        </w:rPr>
      </w:pPr>
      <w:r w:rsidRPr="00DB2FD9">
        <w:rPr>
          <w:sz w:val="28"/>
          <w:szCs w:val="28"/>
        </w:rPr>
        <w:t xml:space="preserve">Глава Листвянского МО                                                                </w:t>
      </w:r>
      <w:proofErr w:type="spellStart"/>
      <w:r w:rsidRPr="00DB2FD9">
        <w:rPr>
          <w:sz w:val="28"/>
          <w:szCs w:val="28"/>
        </w:rPr>
        <w:t>А.А.Шамсудинов</w:t>
      </w:r>
      <w:proofErr w:type="spellEnd"/>
    </w:p>
    <w:p w:rsidR="00754040" w:rsidRPr="00DB2FD9" w:rsidRDefault="00754040" w:rsidP="00754040">
      <w:pPr>
        <w:ind w:firstLine="709"/>
        <w:jc w:val="both"/>
        <w:rPr>
          <w:sz w:val="28"/>
          <w:szCs w:val="28"/>
        </w:rPr>
      </w:pPr>
    </w:p>
    <w:p w:rsidR="005010E2" w:rsidRPr="00DB2FD9" w:rsidRDefault="005010E2" w:rsidP="005010E2">
      <w:pPr>
        <w:autoSpaceDN w:val="0"/>
        <w:adjustRightInd w:val="0"/>
        <w:ind w:firstLine="709"/>
        <w:jc w:val="right"/>
        <w:rPr>
          <w:sz w:val="28"/>
          <w:szCs w:val="28"/>
        </w:rPr>
      </w:pPr>
      <w:r w:rsidRPr="00DB2FD9">
        <w:rPr>
          <w:sz w:val="28"/>
          <w:szCs w:val="28"/>
        </w:rPr>
        <w:lastRenderedPageBreak/>
        <w:t>Приложение №</w:t>
      </w:r>
      <w:r w:rsidR="00E26C9B" w:rsidRPr="00DB2FD9">
        <w:rPr>
          <w:sz w:val="28"/>
          <w:szCs w:val="28"/>
        </w:rPr>
        <w:t>1</w:t>
      </w:r>
    </w:p>
    <w:p w:rsidR="005010E2" w:rsidRPr="00DB2FD9" w:rsidRDefault="005010E2" w:rsidP="005010E2">
      <w:pPr>
        <w:autoSpaceDN w:val="0"/>
        <w:adjustRightInd w:val="0"/>
        <w:ind w:firstLine="709"/>
        <w:jc w:val="right"/>
        <w:rPr>
          <w:sz w:val="28"/>
          <w:szCs w:val="28"/>
        </w:rPr>
      </w:pPr>
      <w:r w:rsidRPr="00DB2FD9">
        <w:rPr>
          <w:sz w:val="28"/>
          <w:szCs w:val="28"/>
        </w:rPr>
        <w:t>к постановлению Администрации</w:t>
      </w:r>
      <w:r w:rsidR="008064A3" w:rsidRPr="00DB2FD9">
        <w:rPr>
          <w:sz w:val="28"/>
          <w:szCs w:val="28"/>
        </w:rPr>
        <w:t xml:space="preserve"> </w:t>
      </w:r>
      <w:r w:rsidRPr="00DB2FD9">
        <w:rPr>
          <w:sz w:val="28"/>
          <w:szCs w:val="28"/>
        </w:rPr>
        <w:t>Листвянского МО</w:t>
      </w:r>
    </w:p>
    <w:p w:rsidR="005010E2" w:rsidRPr="00DB2FD9" w:rsidRDefault="005010E2" w:rsidP="005010E2">
      <w:pPr>
        <w:autoSpaceDN w:val="0"/>
        <w:adjustRightInd w:val="0"/>
        <w:ind w:firstLine="709"/>
        <w:jc w:val="right"/>
        <w:rPr>
          <w:sz w:val="28"/>
          <w:szCs w:val="28"/>
        </w:rPr>
      </w:pPr>
      <w:r w:rsidRPr="00DB2FD9">
        <w:rPr>
          <w:sz w:val="28"/>
          <w:szCs w:val="28"/>
        </w:rPr>
        <w:t>От</w:t>
      </w:r>
      <w:r w:rsidR="00D1772B">
        <w:rPr>
          <w:sz w:val="28"/>
          <w:szCs w:val="28"/>
        </w:rPr>
        <w:t xml:space="preserve"> 15.11.2017 г.</w:t>
      </w:r>
      <w:r w:rsidRPr="00DB2FD9">
        <w:rPr>
          <w:sz w:val="28"/>
          <w:szCs w:val="28"/>
        </w:rPr>
        <w:t xml:space="preserve"> № </w:t>
      </w:r>
      <w:r w:rsidR="00D1772B">
        <w:rPr>
          <w:sz w:val="28"/>
          <w:szCs w:val="28"/>
        </w:rPr>
        <w:t>122</w:t>
      </w:r>
    </w:p>
    <w:p w:rsidR="00754040" w:rsidRPr="00DB2FD9" w:rsidRDefault="00754040" w:rsidP="0075404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040" w:rsidRPr="00DB2FD9" w:rsidRDefault="00754040" w:rsidP="0044267A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2FD9">
        <w:rPr>
          <w:b/>
          <w:sz w:val="28"/>
          <w:szCs w:val="28"/>
        </w:rPr>
        <w:t>СТОИМОСТЬ УСЛУГ, ПРЕДОСТАВЛЯЕМЫХ СПЕЦИАЛИЗИРОВАНН</w:t>
      </w:r>
      <w:r w:rsidR="008064A3" w:rsidRPr="00DB2FD9">
        <w:rPr>
          <w:b/>
          <w:sz w:val="28"/>
          <w:szCs w:val="28"/>
        </w:rPr>
        <w:t>ЫМИ</w:t>
      </w:r>
      <w:r w:rsidRPr="00DB2FD9">
        <w:rPr>
          <w:b/>
          <w:sz w:val="28"/>
          <w:szCs w:val="28"/>
        </w:rPr>
        <w:t xml:space="preserve"> СЛУЖБ</w:t>
      </w:r>
      <w:r w:rsidR="008064A3" w:rsidRPr="00DB2FD9">
        <w:rPr>
          <w:b/>
          <w:sz w:val="28"/>
          <w:szCs w:val="28"/>
        </w:rPr>
        <w:t>АМИ</w:t>
      </w:r>
      <w:r w:rsidRPr="00DB2FD9">
        <w:rPr>
          <w:b/>
          <w:sz w:val="28"/>
          <w:szCs w:val="28"/>
        </w:rPr>
        <w:t xml:space="preserve"> ПО ВОПРОСАМ ПОХОРОННОГО ДЕЛА</w:t>
      </w:r>
      <w:r w:rsidR="008064A3" w:rsidRPr="00DB2FD9">
        <w:rPr>
          <w:b/>
          <w:sz w:val="28"/>
          <w:szCs w:val="28"/>
        </w:rPr>
        <w:t xml:space="preserve"> СОГЛАСНО ГАРАНТИРОВАННОМУ ПЕРЕЧНЮ УСЛУГ ПО ПОГРЕБЕНИЮ</w:t>
      </w:r>
      <w:r w:rsidRPr="00DB2FD9">
        <w:rPr>
          <w:b/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754040" w:rsidRPr="00DB2FD9" w:rsidRDefault="00754040" w:rsidP="0075404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172"/>
        <w:gridCol w:w="2263"/>
      </w:tblGrid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Стоимость (руб.)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бесплатно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3243,31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2017,82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1969,80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 xml:space="preserve">Стоимость всего 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7230,93</w:t>
            </w:r>
          </w:p>
        </w:tc>
      </w:tr>
    </w:tbl>
    <w:p w:rsidR="004052CA" w:rsidRDefault="004052CA" w:rsidP="004052CA">
      <w:pPr>
        <w:autoSpaceDN w:val="0"/>
        <w:adjustRightInd w:val="0"/>
        <w:rPr>
          <w:sz w:val="28"/>
          <w:szCs w:val="28"/>
        </w:rPr>
      </w:pPr>
    </w:p>
    <w:p w:rsidR="004052CA" w:rsidRPr="00DB2FD9" w:rsidRDefault="004052CA" w:rsidP="005010E2">
      <w:pPr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4040" w:rsidRPr="00DB2FD9" w:rsidRDefault="00754040" w:rsidP="005010E2">
      <w:pPr>
        <w:autoSpaceDN w:val="0"/>
        <w:adjustRightInd w:val="0"/>
        <w:ind w:firstLine="709"/>
        <w:jc w:val="right"/>
        <w:rPr>
          <w:sz w:val="28"/>
          <w:szCs w:val="28"/>
        </w:rPr>
      </w:pPr>
      <w:r w:rsidRPr="00DB2FD9">
        <w:rPr>
          <w:sz w:val="28"/>
          <w:szCs w:val="28"/>
        </w:rPr>
        <w:t>Приложение №2</w:t>
      </w:r>
    </w:p>
    <w:p w:rsidR="00754040" w:rsidRPr="00DB2FD9" w:rsidRDefault="00754040" w:rsidP="005010E2">
      <w:pPr>
        <w:autoSpaceDN w:val="0"/>
        <w:adjustRightInd w:val="0"/>
        <w:ind w:firstLine="709"/>
        <w:jc w:val="right"/>
        <w:rPr>
          <w:sz w:val="28"/>
          <w:szCs w:val="28"/>
        </w:rPr>
      </w:pPr>
      <w:r w:rsidRPr="00DB2FD9">
        <w:rPr>
          <w:sz w:val="28"/>
          <w:szCs w:val="28"/>
        </w:rPr>
        <w:t>к постановлению АдминистрацииЛиствянского МО</w:t>
      </w:r>
    </w:p>
    <w:p w:rsidR="00754040" w:rsidRPr="00DB2FD9" w:rsidRDefault="005010E2" w:rsidP="005010E2">
      <w:pPr>
        <w:autoSpaceDN w:val="0"/>
        <w:adjustRightInd w:val="0"/>
        <w:ind w:firstLine="709"/>
        <w:jc w:val="right"/>
        <w:rPr>
          <w:sz w:val="28"/>
          <w:szCs w:val="28"/>
        </w:rPr>
      </w:pPr>
      <w:r w:rsidRPr="00DB2FD9">
        <w:rPr>
          <w:sz w:val="28"/>
          <w:szCs w:val="28"/>
        </w:rPr>
        <w:t xml:space="preserve">От </w:t>
      </w:r>
      <w:r w:rsidR="00D1772B">
        <w:rPr>
          <w:sz w:val="28"/>
          <w:szCs w:val="28"/>
        </w:rPr>
        <w:t>15.11.2017г. № 122</w:t>
      </w:r>
    </w:p>
    <w:p w:rsidR="00754040" w:rsidRPr="00DB2FD9" w:rsidRDefault="00754040" w:rsidP="0075404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040" w:rsidRPr="00DB2FD9" w:rsidRDefault="00754040" w:rsidP="005010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2FD9">
        <w:rPr>
          <w:b/>
          <w:sz w:val="28"/>
          <w:szCs w:val="28"/>
        </w:rPr>
        <w:t>СТОИМОСТЬ УСЛУГ, ПРЕДОСТАВЛЯЕМЫХ СПЕЦИАЛИЗИРОВАННОЙ СЛУЖБОЙ ПО ВОПРОСАМ ПОХОРОННОГО ДЕЛА ПР</w:t>
      </w:r>
      <w:r w:rsidR="008064A3" w:rsidRPr="00DB2FD9">
        <w:rPr>
          <w:b/>
          <w:sz w:val="28"/>
          <w:szCs w:val="28"/>
        </w:rPr>
        <w:t>И</w:t>
      </w:r>
      <w:r w:rsidRPr="00DB2FD9">
        <w:rPr>
          <w:b/>
          <w:sz w:val="28"/>
          <w:szCs w:val="28"/>
        </w:rPr>
        <w:t xml:space="preserve">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754040" w:rsidRPr="00DB2FD9" w:rsidRDefault="00754040" w:rsidP="0075404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172"/>
        <w:gridCol w:w="2263"/>
      </w:tblGrid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Стоимость (руб.)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бесплатно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2908,18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1912,42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1963,43</w:t>
            </w:r>
          </w:p>
        </w:tc>
      </w:tr>
      <w:tr w:rsidR="00754040" w:rsidRPr="00DB2FD9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446,90</w:t>
            </w:r>
          </w:p>
        </w:tc>
      </w:tr>
      <w:tr w:rsidR="00754040" w:rsidRPr="00754040" w:rsidTr="00B07E54">
        <w:tc>
          <w:tcPr>
            <w:tcW w:w="959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54040" w:rsidRPr="00DB2FD9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Стоимость всего</w:t>
            </w:r>
          </w:p>
        </w:tc>
        <w:tc>
          <w:tcPr>
            <w:tcW w:w="2268" w:type="dxa"/>
            <w:shd w:val="clear" w:color="auto" w:fill="auto"/>
          </w:tcPr>
          <w:p w:rsidR="00754040" w:rsidRPr="00754040" w:rsidRDefault="00754040" w:rsidP="0075404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B2FD9">
              <w:rPr>
                <w:sz w:val="28"/>
                <w:szCs w:val="28"/>
              </w:rPr>
              <w:t>7230,93</w:t>
            </w:r>
          </w:p>
        </w:tc>
      </w:tr>
    </w:tbl>
    <w:p w:rsidR="00A57BD2" w:rsidRDefault="00A57BD2" w:rsidP="00B217A0">
      <w:pPr>
        <w:ind w:right="-1" w:firstLine="709"/>
        <w:jc w:val="both"/>
        <w:rPr>
          <w:sz w:val="28"/>
          <w:szCs w:val="28"/>
        </w:rPr>
      </w:pPr>
    </w:p>
    <w:sectPr w:rsidR="00A57BD2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CA87D23"/>
    <w:multiLevelType w:val="hybridMultilevel"/>
    <w:tmpl w:val="448E8A84"/>
    <w:lvl w:ilvl="0" w:tplc="8586E9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8"/>
    <w:rsid w:val="00144758"/>
    <w:rsid w:val="001750FE"/>
    <w:rsid w:val="001B7245"/>
    <w:rsid w:val="00220632"/>
    <w:rsid w:val="002931A4"/>
    <w:rsid w:val="002E2441"/>
    <w:rsid w:val="00332581"/>
    <w:rsid w:val="003C5EF4"/>
    <w:rsid w:val="003C6CF6"/>
    <w:rsid w:val="004052CA"/>
    <w:rsid w:val="0044267A"/>
    <w:rsid w:val="005010E2"/>
    <w:rsid w:val="005C1814"/>
    <w:rsid w:val="00634BFC"/>
    <w:rsid w:val="00742D0C"/>
    <w:rsid w:val="00754040"/>
    <w:rsid w:val="007C3AA7"/>
    <w:rsid w:val="007D5041"/>
    <w:rsid w:val="00801ED5"/>
    <w:rsid w:val="008064A3"/>
    <w:rsid w:val="008A6ACD"/>
    <w:rsid w:val="009D3C86"/>
    <w:rsid w:val="009F3B27"/>
    <w:rsid w:val="00A57660"/>
    <w:rsid w:val="00A57BD2"/>
    <w:rsid w:val="00B217A0"/>
    <w:rsid w:val="00D1772B"/>
    <w:rsid w:val="00DB2FD9"/>
    <w:rsid w:val="00DD0619"/>
    <w:rsid w:val="00E07C14"/>
    <w:rsid w:val="00E23A0E"/>
    <w:rsid w:val="00E2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C03D2"/>
  <w15:docId w15:val="{D34874B7-7B82-49F4-8638-00E6134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75404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2</cp:revision>
  <cp:lastPrinted>2017-11-15T01:19:00Z</cp:lastPrinted>
  <dcterms:created xsi:type="dcterms:W3CDTF">2017-11-15T01:32:00Z</dcterms:created>
  <dcterms:modified xsi:type="dcterms:W3CDTF">2017-11-15T01:32:00Z</dcterms:modified>
</cp:coreProperties>
</file>